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Pr="00B85828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43CD3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 ИНДИВИДУАЛЬНОМУ ПРОЕКТУ</w:t>
      </w:r>
    </w:p>
    <w:p w:rsidR="00DB077D" w:rsidRPr="00B85828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16"/>
          <w:szCs w:val="16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</w:t>
      </w:r>
      <w:r w:rsidR="00D43CD3">
        <w:rPr>
          <w:rFonts w:ascii="Times New Roman" w:hAnsi="Times New Roman"/>
          <w:sz w:val="28"/>
          <w:szCs w:val="28"/>
        </w:rPr>
        <w:t xml:space="preserve"> индивидуальный предприниматель в целях технологического присоединения </w:t>
      </w:r>
      <w:proofErr w:type="spellStart"/>
      <w:r w:rsidR="00D43CD3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D43CD3">
        <w:rPr>
          <w:rFonts w:ascii="Times New Roman" w:hAnsi="Times New Roman"/>
          <w:sz w:val="28"/>
          <w:szCs w:val="28"/>
        </w:rPr>
        <w:t xml:space="preserve"> устройств по индивидуальному проекту.</w:t>
      </w:r>
    </w:p>
    <w:p w:rsidR="00DB077D" w:rsidRPr="00DB077D" w:rsidRDefault="00DB077D" w:rsidP="00D43CD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энергетической комиссии Кузбасса от</w:t>
      </w:r>
      <w:r w:rsidR="00534E2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E906A1">
        <w:rPr>
          <w:rFonts w:ascii="Times New Roman" w:hAnsi="Times New Roman"/>
          <w:color w:val="000000" w:themeColor="text1"/>
          <w:sz w:val="28"/>
          <w:szCs w:val="28"/>
        </w:rPr>
        <w:t>9.11.2022</w:t>
      </w:r>
      <w:bookmarkStart w:id="3" w:name="_GoBack"/>
      <w:bookmarkEnd w:id="3"/>
      <w:r w:rsidR="00E95B5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34E2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906A1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E95B57">
        <w:rPr>
          <w:rFonts w:ascii="Times New Roman" w:hAnsi="Times New Roman"/>
          <w:color w:val="000000" w:themeColor="text1"/>
          <w:sz w:val="28"/>
          <w:szCs w:val="28"/>
        </w:rPr>
        <w:t>, либо рассчитывается по смете.</w:t>
      </w:r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технической возможности технологического присоединения </w:t>
      </w:r>
      <w:proofErr w:type="spellStart"/>
      <w:r w:rsidR="00B85828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Pr="00DE4D74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DE4D74" w:rsidRPr="00DE4D74">
        <w:rPr>
          <w:rFonts w:ascii="Times New Roman" w:hAnsi="Times New Roman"/>
          <w:b/>
          <w:sz w:val="28"/>
          <w:szCs w:val="28"/>
        </w:rPr>
        <w:t>2 года с даты заключения договора</w:t>
      </w:r>
      <w:r w:rsidR="00DE4D74">
        <w:rPr>
          <w:rFonts w:ascii="Times New Roman" w:hAnsi="Times New Roman"/>
          <w:sz w:val="28"/>
          <w:szCs w:val="28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DE4D74" w:rsidRPr="00DE4D74" w:rsidRDefault="00DE4D74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16"/>
          <w:szCs w:val="16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Pr="00DE4D74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DE4D74" w:rsidRPr="00817A6C" w:rsidTr="00B85828">
        <w:trPr>
          <w:trHeight w:val="79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Принятие заявки сетевой организацией</w:t>
            </w:r>
          </w:p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день поступления заявки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п.8 </w:t>
            </w:r>
            <w:r w:rsidRPr="00282273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DE4D74" w:rsidRPr="00817A6C" w:rsidTr="00B85828">
        <w:trPr>
          <w:trHeight w:val="117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82273">
              <w:rPr>
                <w:rFonts w:ascii="Times New Roman" w:hAnsi="Times New Roman"/>
              </w:rPr>
              <w:t>роверка полноты и достоверности сведений и документов в заявке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необходимых сведений и документов заявитель уведомляется сетевой организацией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pStyle w:val="a3"/>
              <w:rPr>
                <w:rStyle w:val="11"/>
                <w:rFonts w:eastAsia="Calibri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 дней с даты получения заявки на технологическое присоединение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п.15, 34 Правил технологического присоединения</w:t>
            </w:r>
          </w:p>
        </w:tc>
      </w:tr>
      <w:tr w:rsidR="00DE4D74" w:rsidRPr="00817A6C" w:rsidTr="00DE4D74">
        <w:trPr>
          <w:trHeight w:val="1612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Установление платы за технологическое присоединение по индивидуальному проекту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Направление сетевой организацией заявления об установлении платы за технологическое присоединение по индивидуальному проекту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В течение 30 дней с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даты получения заявки. Сетевая организация уведомляет заявителя о направлении заявления не позднее 3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рабочих дней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п.30.</w:t>
            </w:r>
            <w:r>
              <w:rPr>
                <w:rFonts w:ascii="Times New Roman" w:hAnsi="Times New Roman"/>
              </w:rPr>
              <w:t xml:space="preserve">1, 30.2 </w:t>
            </w:r>
            <w:r w:rsidRPr="00282273"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  <w:tr w:rsidR="00DE4D74" w:rsidRPr="00817A6C" w:rsidTr="00A32036">
        <w:trPr>
          <w:trHeight w:val="1329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Разработка технических условий, подготовка договора ТП, направление заявителю проект договора ТП, ТУ и </w:t>
            </w:r>
            <w:r>
              <w:rPr>
                <w:rFonts w:ascii="Times New Roman" w:hAnsi="Times New Roman"/>
              </w:rPr>
              <w:t>решение уполномо</w:t>
            </w:r>
            <w:r w:rsidRPr="00282273">
              <w:rPr>
                <w:rFonts w:ascii="Times New Roman" w:hAnsi="Times New Roman"/>
              </w:rPr>
              <w:t>ченного органа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</w:t>
            </w:r>
          </w:p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дня с даты утверждения платы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п.30.4 Правил технологического присоединения</w:t>
            </w:r>
          </w:p>
        </w:tc>
      </w:tr>
      <w:tr w:rsidR="00C875D6" w:rsidRPr="00817A6C" w:rsidTr="00A32036">
        <w:trPr>
          <w:trHeight w:val="286"/>
          <w:jc w:val="center"/>
        </w:trPr>
        <w:tc>
          <w:tcPr>
            <w:tcW w:w="496" w:type="dxa"/>
          </w:tcPr>
          <w:p w:rsidR="00C875D6" w:rsidRPr="00DE4D74" w:rsidRDefault="00C875D6" w:rsidP="00C875D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E4D74" w:rsidRPr="00817A6C" w:rsidTr="00A32036">
        <w:trPr>
          <w:trHeight w:val="1770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pStyle w:val="a3"/>
              <w:ind w:right="-141" w:hanging="142"/>
              <w:jc w:val="center"/>
              <w:rPr>
                <w:rStyle w:val="11"/>
                <w:rFonts w:eastAsia="Calibri"/>
                <w:b/>
                <w:sz w:val="24"/>
                <w:szCs w:val="24"/>
                <w:u w:val="none"/>
              </w:rPr>
            </w:pPr>
            <w:r w:rsidRPr="00DE4D74">
              <w:rPr>
                <w:rStyle w:val="11"/>
                <w:rFonts w:eastAsia="Calibri"/>
                <w:b/>
                <w:sz w:val="24"/>
                <w:szCs w:val="24"/>
                <w:u w:val="none"/>
              </w:rPr>
              <w:t>5.1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82273">
              <w:rPr>
                <w:rFonts w:ascii="Times New Roman" w:eastAsiaTheme="minorHAnsi" w:hAnsi="Times New Roman"/>
              </w:rPr>
              <w:t>Заказным письмом с уведомлением о вручении</w:t>
            </w:r>
          </w:p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5.2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 в соответствие с Правилами тех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6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ТП и ТУ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7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 подписанного сетевой организацией  договора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п.</w:t>
            </w:r>
            <w:r>
              <w:rPr>
                <w:rFonts w:ascii="Times New Roman" w:hAnsi="Times New Roman"/>
                <w:color w:val="000000"/>
                <w:lang w:eastAsia="ru-RU"/>
              </w:rPr>
              <w:t>16(2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)- 16(4), 17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9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договор ТП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10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 присоединению (электромонтаж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ные работы, фактическое присоединение и подача напряжения составление и подписание Актов)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сетевой организации мероприятий по технологическому присоединению, согласно ТУ. Проведение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проверки  выполнения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заявителем ТУ.  Осуществление сетевой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комплекса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соединение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 4 месяцев до 4 лет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в зависимости от условий, в соответствии с п. 16(б) Правил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16(б), 18,19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534E29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534E29">
        <w:rPr>
          <w:rFonts w:asciiTheme="majorHAnsi" w:hAnsiTheme="majorHAnsi"/>
          <w:color w:val="000000" w:themeColor="text1"/>
          <w:sz w:val="32"/>
          <w:szCs w:val="32"/>
        </w:rPr>
        <w:t xml:space="preserve">Единый телефон «Горячей линии» </w:t>
      </w:r>
      <w:proofErr w:type="spellStart"/>
      <w:proofErr w:type="gramStart"/>
      <w:r w:rsidRPr="00534E29">
        <w:rPr>
          <w:rFonts w:asciiTheme="majorHAnsi" w:hAnsiTheme="majorHAnsi"/>
          <w:color w:val="000000" w:themeColor="text1"/>
          <w:sz w:val="32"/>
          <w:szCs w:val="32"/>
        </w:rPr>
        <w:t>ООО»КЭнК</w:t>
      </w:r>
      <w:proofErr w:type="spellEnd"/>
      <w:proofErr w:type="gramEnd"/>
      <w:r w:rsidRPr="00534E29">
        <w:rPr>
          <w:rFonts w:asciiTheme="majorHAnsi" w:hAnsiTheme="majorHAnsi"/>
          <w:color w:val="000000" w:themeColor="text1"/>
          <w:sz w:val="32"/>
          <w:szCs w:val="32"/>
        </w:rPr>
        <w:t>»:</w:t>
      </w:r>
      <w:r w:rsidRPr="00534E29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534E29">
        <w:rPr>
          <w:rFonts w:asciiTheme="minorHAnsi" w:hAnsiTheme="minorHAnsi"/>
          <w:color w:val="0000FF"/>
          <w:sz w:val="32"/>
          <w:szCs w:val="32"/>
        </w:rPr>
        <w:t>8-800-700-8157</w:t>
      </w: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534E29">
        <w:rPr>
          <w:rFonts w:asciiTheme="majorHAnsi" w:hAnsiTheme="majorHAnsi"/>
          <w:color w:val="000000" w:themeColor="text1"/>
          <w:sz w:val="32"/>
          <w:szCs w:val="32"/>
        </w:rPr>
        <w:t>Адрес электронной почты:</w:t>
      </w:r>
      <w:r w:rsidRPr="00534E29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Kemerovo</w:t>
      </w:r>
      <w:r w:rsidRPr="00534E29">
        <w:rPr>
          <w:rFonts w:asciiTheme="majorHAnsi" w:hAnsiTheme="majorHAnsi"/>
          <w:color w:val="0000FF"/>
          <w:sz w:val="32"/>
          <w:szCs w:val="32"/>
        </w:rPr>
        <w:t>_</w:t>
      </w:r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COK</w:t>
      </w:r>
      <w:r w:rsidRPr="00534E29">
        <w:rPr>
          <w:rFonts w:asciiTheme="majorHAnsi" w:hAnsiTheme="majorHAnsi"/>
          <w:color w:val="0000FF"/>
          <w:sz w:val="32"/>
          <w:szCs w:val="32"/>
        </w:rPr>
        <w:t>@</w:t>
      </w:r>
      <w:proofErr w:type="spellStart"/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mailkenk</w:t>
      </w:r>
      <w:proofErr w:type="spellEnd"/>
      <w:r w:rsidRPr="00534E29">
        <w:rPr>
          <w:rFonts w:asciiTheme="majorHAnsi" w:hAnsiTheme="majorHAnsi"/>
          <w:color w:val="0000FF"/>
          <w:sz w:val="32"/>
          <w:szCs w:val="32"/>
        </w:rPr>
        <w:t>.</w:t>
      </w:r>
      <w:proofErr w:type="spellStart"/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534E29" w:rsidRPr="00F15D51" w:rsidRDefault="00534E29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8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9"/>
        <w:gridCol w:w="4717"/>
        <w:gridCol w:w="7434"/>
      </w:tblGrid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8-962-734-0367,   </w:t>
            </w:r>
            <w:hyperlink r:id="rId5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6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7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8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9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0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1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2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пгт. Тисуль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8-962-734-0384,   </w:t>
            </w:r>
            <w:hyperlink r:id="rId13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4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5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8-962-734-0374,   </w:t>
            </w:r>
            <w:hyperlink r:id="rId16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DB077D"/>
    <w:sectPr w:rsidR="00177D57" w:rsidRPr="00DB077D" w:rsidSect="00B85828">
      <w:pgSz w:w="16867" w:h="11926" w:orient="landscape"/>
      <w:pgMar w:top="568" w:right="567" w:bottom="142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4E29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32036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5828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3CD3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D2429"/>
    <w:rsid w:val="00DD4067"/>
    <w:rsid w:val="00DD482D"/>
    <w:rsid w:val="00DE07DF"/>
    <w:rsid w:val="00DE110C"/>
    <w:rsid w:val="00DE4D74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906A1"/>
    <w:rsid w:val="00E95B57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CF05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_COK@mailkenk.ru" TargetMode="External"/><Relationship Id="rId13" Type="http://schemas.openxmlformats.org/officeDocument/2006/relationships/hyperlink" Target="mailto:Tisul_COK@mailke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selevsk_COK@mailkenk.ru" TargetMode="External"/><Relationship Id="rId12" Type="http://schemas.openxmlformats.org/officeDocument/2006/relationships/hyperlink" Target="mailto:Tashtagol_COK@mailke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merovo_COK@mailke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Prokopyevsk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Jurga_COK@mailkenk.ru" TargetMode="External"/><Relationship Id="rId10" Type="http://schemas.openxmlformats.org/officeDocument/2006/relationships/hyperlink" Target="mailto:Osinniki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uzneck_COK@mailkenk.ru" TargetMode="External"/><Relationship Id="rId14" Type="http://schemas.openxmlformats.org/officeDocument/2006/relationships/hyperlink" Target="mailto:Top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50</cp:revision>
  <cp:lastPrinted>2017-08-16T03:41:00Z</cp:lastPrinted>
  <dcterms:created xsi:type="dcterms:W3CDTF">2014-08-29T04:13:00Z</dcterms:created>
  <dcterms:modified xsi:type="dcterms:W3CDTF">2023-01-17T01:29:00Z</dcterms:modified>
</cp:coreProperties>
</file>