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35" w:rsidRPr="004D2D0D" w:rsidRDefault="000E5335" w:rsidP="000E5335">
      <w:pPr>
        <w:widowControl w:val="0"/>
        <w:tabs>
          <w:tab w:val="left" w:pos="6946"/>
        </w:tabs>
        <w:autoSpaceDE w:val="0"/>
        <w:autoSpaceDN w:val="0"/>
        <w:adjustRightInd w:val="0"/>
        <w:spacing w:before="14" w:after="0" w:line="240" w:lineRule="auto"/>
        <w:ind w:left="15" w:firstLine="6931"/>
        <w:rPr>
          <w:rFonts w:ascii="Times New Roman" w:hAnsi="Times New Roman"/>
          <w:color w:val="000000"/>
          <w:sz w:val="20"/>
          <w:szCs w:val="20"/>
        </w:rPr>
      </w:pPr>
      <w:r w:rsidRPr="004D2D0D">
        <w:rPr>
          <w:rFonts w:ascii="Times New Roman" w:hAnsi="Times New Roman"/>
          <w:color w:val="000000"/>
          <w:sz w:val="20"/>
          <w:szCs w:val="20"/>
        </w:rPr>
        <w:t>Приложение № 7.4.</w:t>
      </w:r>
    </w:p>
    <w:p w:rsidR="000E5335" w:rsidRPr="004D2D0D" w:rsidRDefault="000E5335" w:rsidP="000E5335">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0E5335" w:rsidRPr="004D2D0D" w:rsidTr="006A69FA">
        <w:trPr>
          <w:trHeight w:val="118"/>
        </w:trPr>
        <w:tc>
          <w:tcPr>
            <w:tcW w:w="10267" w:type="dxa"/>
            <w:gridSpan w:val="5"/>
            <w:tcBorders>
              <w:top w:val="nil"/>
              <w:left w:val="nil"/>
              <w:bottom w:val="nil"/>
              <w:right w:val="nil"/>
            </w:tcBorders>
          </w:tcPr>
          <w:p w:rsidR="000E5335" w:rsidRPr="00BF5966"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BF5966">
              <w:rPr>
                <w:rFonts w:ascii="Times New Roman" w:hAnsi="Times New Roman"/>
                <w:color w:val="000000"/>
                <w:sz w:val="20"/>
                <w:szCs w:val="20"/>
              </w:rPr>
              <w:t>1</w:t>
            </w:r>
          </w:p>
        </w:tc>
      </w:tr>
      <w:tr w:rsidR="000E5335" w:rsidRPr="004D2D0D" w:rsidTr="006A69FA">
        <w:trPr>
          <w:trHeight w:val="268"/>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0E5335" w:rsidRPr="004D2D0D" w:rsidTr="006A69FA">
        <w:trPr>
          <w:trHeight w:val="215"/>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0E5335" w:rsidRPr="004D2D0D" w:rsidTr="006A69FA">
        <w:trPr>
          <w:trHeight w:val="268"/>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0E5335" w:rsidRPr="004D2D0D" w:rsidTr="006A69FA">
        <w:trPr>
          <w:trHeight w:val="541"/>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0E5335" w:rsidRPr="004D2D0D" w:rsidTr="006A69FA">
        <w:trPr>
          <w:trHeight w:val="268"/>
        </w:trPr>
        <w:tc>
          <w:tcPr>
            <w:tcW w:w="5701" w:type="dxa"/>
            <w:gridSpan w:val="3"/>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0E5335" w:rsidRPr="004D2D0D" w:rsidTr="006A69FA">
        <w:trPr>
          <w:trHeight w:val="268"/>
        </w:trPr>
        <w:tc>
          <w:tcPr>
            <w:tcW w:w="2505" w:type="dxa"/>
            <w:gridSpan w:val="2"/>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0E533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0E5335" w:rsidRPr="004D2D0D" w:rsidTr="006A69FA">
        <w:trPr>
          <w:trHeight w:val="268"/>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0E5335" w:rsidRPr="004D2D0D" w:rsidTr="006A69FA">
        <w:trPr>
          <w:trHeight w:val="268"/>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0E533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0E5335" w:rsidRPr="004D2D0D" w:rsidTr="006A69FA">
        <w:trPr>
          <w:trHeight w:val="268"/>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0E5335" w:rsidRPr="004D2D0D" w:rsidTr="006A69FA">
        <w:trPr>
          <w:trHeight w:val="268"/>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0E533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0E5335" w:rsidRPr="004D2D0D" w:rsidTr="006A69FA">
        <w:trPr>
          <w:trHeight w:val="215"/>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0E5335" w:rsidRPr="004D2D0D" w:rsidTr="006A69FA">
        <w:trPr>
          <w:trHeight w:val="268"/>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0E5335" w:rsidRPr="004D2D0D" w:rsidTr="006A69FA">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0E5335" w:rsidRPr="004D2D0D" w:rsidTr="006A69FA">
        <w:trPr>
          <w:trHeight w:val="215"/>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0E5335" w:rsidRPr="004D2D0D" w:rsidTr="006A69FA">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0E5335" w:rsidRPr="004D2D0D" w:rsidTr="006A69FA">
        <w:trPr>
          <w:trHeight w:val="429"/>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0E533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0E5335" w:rsidRPr="004D2D0D" w:rsidTr="006A69FA">
        <w:trPr>
          <w:trHeight w:val="215"/>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0E533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0E5335" w:rsidRPr="004D2D0D" w:rsidTr="006A69FA">
        <w:trPr>
          <w:trHeight w:val="215"/>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0E5335" w:rsidRPr="004D2D0D" w:rsidTr="006A69FA">
        <w:trPr>
          <w:trHeight w:val="537"/>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0E5335" w:rsidRPr="004D2D0D" w:rsidTr="006A69FA">
        <w:trPr>
          <w:trHeight w:val="322"/>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0E5335" w:rsidRPr="004D2D0D" w:rsidTr="006A69FA">
        <w:trPr>
          <w:trHeight w:val="795"/>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0E533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0E5335" w:rsidRPr="004D2D0D" w:rsidTr="006A69FA">
        <w:trPr>
          <w:trHeight w:val="268"/>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0E5335" w:rsidRPr="004D2D0D" w:rsidTr="006A69FA">
        <w:trPr>
          <w:trHeight w:val="1610"/>
        </w:trPr>
        <w:tc>
          <w:tcPr>
            <w:tcW w:w="10267" w:type="dxa"/>
            <w:gridSpan w:val="5"/>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0E5335" w:rsidRPr="004D2D0D" w:rsidTr="006A69FA">
        <w:trPr>
          <w:trHeight w:val="268"/>
        </w:trPr>
        <w:tc>
          <w:tcPr>
            <w:tcW w:w="565" w:type="dxa"/>
            <w:vMerge w:val="restart"/>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0E5335" w:rsidRPr="004D2D0D" w:rsidTr="006A69FA">
        <w:trPr>
          <w:trHeight w:val="268"/>
        </w:trPr>
        <w:tc>
          <w:tcPr>
            <w:tcW w:w="565"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0E5335" w:rsidRPr="004D2D0D" w:rsidTr="006A69FA">
        <w:trPr>
          <w:trHeight w:val="424"/>
        </w:trPr>
        <w:tc>
          <w:tcPr>
            <w:tcW w:w="565"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0E5335" w:rsidRPr="004D2D0D" w:rsidTr="006A69FA">
        <w:trPr>
          <w:trHeight w:val="418"/>
        </w:trPr>
        <w:tc>
          <w:tcPr>
            <w:tcW w:w="565"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0E5335" w:rsidRPr="004D2D0D" w:rsidTr="006A69FA">
        <w:trPr>
          <w:trHeight w:val="540"/>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0E5335" w:rsidRPr="004D2D0D" w:rsidTr="006A69FA">
        <w:trPr>
          <w:trHeight w:val="268"/>
        </w:trPr>
        <w:tc>
          <w:tcPr>
            <w:tcW w:w="565"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0E5335"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0E5335" w:rsidRPr="004D2D0D" w:rsidTr="006A69FA">
        <w:trPr>
          <w:trHeight w:val="268"/>
        </w:trPr>
        <w:tc>
          <w:tcPr>
            <w:tcW w:w="10267" w:type="dxa"/>
            <w:gridSpan w:val="5"/>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bl>
    <w:p w:rsidR="000E5335" w:rsidRPr="004D2D0D" w:rsidRDefault="000E5335" w:rsidP="000E5335">
      <w:pPr>
        <w:widowControl w:val="0"/>
        <w:autoSpaceDE w:val="0"/>
        <w:autoSpaceDN w:val="0"/>
        <w:adjustRightInd w:val="0"/>
        <w:spacing w:after="0" w:line="240" w:lineRule="auto"/>
        <w:rPr>
          <w:rFonts w:ascii="Times New Roman" w:hAnsi="Times New Roman"/>
          <w:sz w:val="24"/>
          <w:szCs w:val="24"/>
        </w:rPr>
        <w:sectPr w:rsidR="000E5335"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0E5335" w:rsidRPr="004D2D0D" w:rsidTr="006A69FA">
        <w:trPr>
          <w:trHeight w:val="268"/>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0E5335" w:rsidRPr="004D2D0D" w:rsidTr="006A69FA">
        <w:trPr>
          <w:gridAfter w:val="1"/>
          <w:wAfter w:w="61" w:type="dxa"/>
          <w:trHeight w:val="196"/>
        </w:trPr>
        <w:tc>
          <w:tcPr>
            <w:tcW w:w="10206"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0E5335" w:rsidRPr="004D2D0D" w:rsidTr="006A69FA">
        <w:trPr>
          <w:gridAfter w:val="1"/>
          <w:wAfter w:w="61" w:type="dxa"/>
          <w:trHeight w:val="70"/>
        </w:trPr>
        <w:tc>
          <w:tcPr>
            <w:tcW w:w="6896" w:type="dxa"/>
            <w:gridSpan w:val="2"/>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0E5335" w:rsidRPr="004D2D0D" w:rsidTr="006A69FA">
        <w:trPr>
          <w:trHeight w:val="268"/>
        </w:trPr>
        <w:tc>
          <w:tcPr>
            <w:tcW w:w="10267"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0E5335" w:rsidRPr="004D2D0D" w:rsidTr="006A69FA">
        <w:trPr>
          <w:trHeight w:val="284"/>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0E5335" w:rsidRPr="004D2D0D" w:rsidTr="006A69FA">
        <w:trPr>
          <w:trHeight w:val="268"/>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0E5335" w:rsidRPr="004D2D0D" w:rsidTr="006A69FA">
        <w:trPr>
          <w:trHeight w:val="1051"/>
        </w:trPr>
        <w:tc>
          <w:tcPr>
            <w:tcW w:w="10267" w:type="dxa"/>
            <w:gridSpan w:val="4"/>
            <w:tcBorders>
              <w:top w:val="nil"/>
              <w:left w:val="nil"/>
              <w:bottom w:val="nil"/>
              <w:right w:val="nil"/>
            </w:tcBorders>
            <w:vAlign w:val="bottom"/>
          </w:tcPr>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0E5335" w:rsidRPr="004D2D0D" w:rsidTr="006A69FA">
        <w:trPr>
          <w:trHeight w:val="540"/>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0E5335" w:rsidRPr="004D2D0D" w:rsidTr="006A69FA">
        <w:trPr>
          <w:trHeight w:val="540"/>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0E5335" w:rsidRPr="004D2D0D" w:rsidTr="006A69FA">
        <w:trPr>
          <w:trHeight w:val="540"/>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0E5335" w:rsidRPr="004D2D0D" w:rsidTr="006A69FA">
        <w:trPr>
          <w:trHeight w:val="322"/>
        </w:trPr>
        <w:tc>
          <w:tcPr>
            <w:tcW w:w="10267"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0E5335" w:rsidRPr="004D2D0D" w:rsidTr="006A69FA">
        <w:trPr>
          <w:trHeight w:val="284"/>
        </w:trPr>
        <w:tc>
          <w:tcPr>
            <w:tcW w:w="565"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0E5335" w:rsidRPr="004D2D0D" w:rsidTr="006A69FA">
        <w:trPr>
          <w:trHeight w:val="4614"/>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D2D0D">
              <w:rPr>
                <w:rFonts w:ascii="Times New Roman" w:hAnsi="Times New Roman"/>
                <w:color w:val="000000"/>
                <w:sz w:val="24"/>
                <w:szCs w:val="24"/>
              </w:rPr>
              <w:t>энергопринимающие</w:t>
            </w:r>
            <w:proofErr w:type="spellEnd"/>
            <w:r w:rsidRPr="004D2D0D">
              <w:rPr>
                <w:rFonts w:ascii="Times New Roman" w:hAnsi="Times New Roman"/>
                <w:color w:val="000000"/>
                <w:sz w:val="24"/>
                <w:szCs w:val="24"/>
              </w:rPr>
              <w:t xml:space="preserve"> устройства заявителя, указанные в технических условиях; </w:t>
            </w:r>
          </w:p>
          <w:p w:rsidR="000E5335" w:rsidRPr="004D2D0D" w:rsidRDefault="000E5335"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E5335" w:rsidRPr="004D2D0D" w:rsidRDefault="000E5335"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должностным лицом федерального органа исполнительной власти по технологическому надзору;</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0E5335" w:rsidRPr="004D2D0D" w:rsidTr="006A69FA">
        <w:trPr>
          <w:trHeight w:val="1051"/>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0E5335" w:rsidRPr="004D2D0D" w:rsidTr="006A69FA">
        <w:trPr>
          <w:trHeight w:val="268"/>
        </w:trPr>
        <w:tc>
          <w:tcPr>
            <w:tcW w:w="565"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0E5335" w:rsidRPr="004D2D0D" w:rsidTr="006A69FA">
        <w:trPr>
          <w:trHeight w:val="70"/>
        </w:trPr>
        <w:tc>
          <w:tcPr>
            <w:tcW w:w="10267"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D2D0D">
              <w:rPr>
                <w:rFonts w:ascii="Times New Roman" w:hAnsi="Times New Roman"/>
                <w:color w:val="000000"/>
                <w:sz w:val="24"/>
                <w:szCs w:val="24"/>
              </w:rPr>
              <w:t>энергопринимающие</w:t>
            </w:r>
            <w:proofErr w:type="spellEnd"/>
            <w:r w:rsidRPr="004D2D0D">
              <w:rPr>
                <w:rFonts w:ascii="Times New Roman" w:hAnsi="Times New Roman"/>
                <w:color w:val="000000"/>
                <w:sz w:val="24"/>
                <w:szCs w:val="24"/>
              </w:rPr>
              <w:t xml:space="preserve"> устройства заявителя, указанные в технических условиях;</w:t>
            </w:r>
          </w:p>
          <w:p w:rsidR="000E5335" w:rsidRPr="004D2D0D" w:rsidRDefault="000E5335"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E5335" w:rsidRPr="004D2D0D" w:rsidRDefault="000E5335" w:rsidP="006A69FA">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должностным лицом федерального органа исполнительной власти по технологическому надзору</w:t>
            </w:r>
          </w:p>
          <w:p w:rsidR="000E5335" w:rsidRPr="004D2D0D" w:rsidRDefault="000E5335"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i/>
                <w:color w:val="000000"/>
                <w:sz w:val="24"/>
                <w:szCs w:val="24"/>
              </w:rPr>
              <w:t xml:space="preserve">(Получение разрешения федерального органа исполнительной власти по технологическому надзору на допуск к эксплуатации присоединяемых объектов не требуется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с максимальной мощностью до 150</w:t>
            </w:r>
          </w:p>
        </w:tc>
      </w:tr>
    </w:tbl>
    <w:p w:rsidR="000E5335" w:rsidRPr="004D2D0D" w:rsidRDefault="000E5335" w:rsidP="000E5335">
      <w:pPr>
        <w:widowControl w:val="0"/>
        <w:autoSpaceDE w:val="0"/>
        <w:autoSpaceDN w:val="0"/>
        <w:adjustRightInd w:val="0"/>
        <w:spacing w:after="0" w:line="240" w:lineRule="auto"/>
        <w:rPr>
          <w:rFonts w:ascii="Times New Roman" w:hAnsi="Times New Roman"/>
          <w:sz w:val="24"/>
          <w:szCs w:val="24"/>
        </w:rPr>
        <w:sectPr w:rsidR="000E5335" w:rsidRPr="004D2D0D" w:rsidSect="002017B2">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0E5335" w:rsidRPr="004D2D0D" w:rsidTr="006A69FA">
        <w:trPr>
          <w:trHeight w:val="142"/>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0E5335" w:rsidRPr="004D2D0D" w:rsidTr="006A69FA">
        <w:trPr>
          <w:gridAfter w:val="1"/>
          <w:wAfter w:w="61" w:type="dxa"/>
          <w:trHeight w:val="196"/>
        </w:trPr>
        <w:tc>
          <w:tcPr>
            <w:tcW w:w="10206" w:type="dxa"/>
            <w:gridSpan w:val="2"/>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0E5335" w:rsidRPr="004D2D0D" w:rsidTr="006A69FA">
        <w:trPr>
          <w:gridAfter w:val="1"/>
          <w:wAfter w:w="61" w:type="dxa"/>
          <w:trHeight w:val="70"/>
        </w:trPr>
        <w:tc>
          <w:tcPr>
            <w:tcW w:w="6896"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0E5335" w:rsidRPr="004D2D0D" w:rsidTr="006A69FA">
        <w:trPr>
          <w:trHeight w:val="4128"/>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both"/>
              <w:rPr>
                <w:rFonts w:ascii="Times New Roman" w:hAnsi="Times New Roman"/>
                <w:i/>
                <w:color w:val="000000"/>
                <w:sz w:val="24"/>
                <w:szCs w:val="24"/>
              </w:rPr>
            </w:pPr>
            <w:r w:rsidRPr="004D2D0D">
              <w:rPr>
                <w:rFonts w:ascii="Times New Roman" w:hAnsi="Times New Roman"/>
                <w:i/>
                <w:color w:val="000000"/>
                <w:sz w:val="24"/>
                <w:szCs w:val="24"/>
              </w:rPr>
              <w:t xml:space="preserve">кВт включительно по третьей категории надёжности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мощностью от 150 кВт до 670 кВт, принадлежащих юридическим лицам или индивидуальным предпринимателям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а также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мощностью до 150 кВт включительно, принадлежащих юридическим лицам или индивидуальным предпринимателям и присоединяющихся по второй категории надежности (по двум источникам электроснабжения) в адрес органа федерального государственного энергетического надзора в течение 5 календарных дней со дня оформления акта о выполнении технических условий способом, позволяющим установить дату отправки и получения, направляется уведомление о готовности на ввод в эксплуатацию объектов.)</w:t>
            </w:r>
            <w:r w:rsidRPr="004D2D0D">
              <w:rPr>
                <w:rFonts w:ascii="Times New Roman" w:hAnsi="Times New Roman"/>
                <w:color w:val="000000"/>
                <w:sz w:val="24"/>
                <w:szCs w:val="24"/>
              </w:rPr>
              <w:t>;</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0E5335" w:rsidRPr="004D2D0D" w:rsidTr="006A69FA">
        <w:trPr>
          <w:trHeight w:val="563"/>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0E5335" w:rsidRPr="004D2D0D" w:rsidTr="006A69FA">
        <w:trPr>
          <w:trHeight w:val="322"/>
        </w:trPr>
        <w:tc>
          <w:tcPr>
            <w:tcW w:w="10267" w:type="dxa"/>
            <w:gridSpan w:val="3"/>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0E5335" w:rsidRPr="004D2D0D" w:rsidTr="006A69FA">
        <w:trPr>
          <w:trHeight w:val="540"/>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0E5335" w:rsidRPr="004D2D0D" w:rsidTr="006A69FA">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0E5335" w:rsidRPr="004D2D0D" w:rsidTr="006A69FA">
        <w:trPr>
          <w:trHeight w:val="268"/>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0E5335" w:rsidRPr="004D2D0D" w:rsidTr="006A69FA">
        <w:trPr>
          <w:trHeight w:val="1051"/>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0E5335" w:rsidRPr="004D2D0D" w:rsidRDefault="000E5335"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0E5335" w:rsidRPr="004D2D0D" w:rsidRDefault="000E5335"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0E5335" w:rsidRPr="004D2D0D" w:rsidRDefault="000E5335"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0E5335" w:rsidRPr="004D2D0D" w:rsidRDefault="000E5335"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tc>
      </w:tr>
    </w:tbl>
    <w:p w:rsidR="000E5335" w:rsidRPr="004D2D0D" w:rsidRDefault="000E5335" w:rsidP="000E5335">
      <w:pPr>
        <w:widowControl w:val="0"/>
        <w:autoSpaceDE w:val="0"/>
        <w:autoSpaceDN w:val="0"/>
        <w:adjustRightInd w:val="0"/>
        <w:spacing w:after="0" w:line="240" w:lineRule="auto"/>
        <w:rPr>
          <w:rFonts w:ascii="Times New Roman" w:hAnsi="Times New Roman"/>
          <w:sz w:val="24"/>
          <w:szCs w:val="24"/>
        </w:rPr>
        <w:sectPr w:rsidR="000E5335" w:rsidRPr="004D2D0D"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0E5335" w:rsidRPr="004D2D0D" w:rsidTr="006A69FA">
        <w:trPr>
          <w:trHeight w:val="149"/>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0E5335" w:rsidRPr="004D2D0D" w:rsidTr="006A69FA">
        <w:trPr>
          <w:gridAfter w:val="1"/>
          <w:wAfter w:w="61" w:type="dxa"/>
          <w:trHeight w:val="196"/>
        </w:trPr>
        <w:tc>
          <w:tcPr>
            <w:tcW w:w="10206" w:type="dxa"/>
            <w:gridSpan w:val="2"/>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0E5335" w:rsidRPr="004D2D0D" w:rsidTr="006A69FA">
        <w:trPr>
          <w:gridAfter w:val="1"/>
          <w:wAfter w:w="61" w:type="dxa"/>
          <w:trHeight w:val="70"/>
        </w:trPr>
        <w:tc>
          <w:tcPr>
            <w:tcW w:w="6896"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0E5335" w:rsidRPr="004D2D0D" w:rsidTr="006A69FA">
        <w:trPr>
          <w:trHeight w:val="1562"/>
        </w:trPr>
        <w:tc>
          <w:tcPr>
            <w:tcW w:w="10267"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firstLine="550"/>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E5335" w:rsidRPr="004D2D0D" w:rsidRDefault="000E5335" w:rsidP="006A69FA">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0E5335" w:rsidRPr="004D2D0D" w:rsidRDefault="000E5335"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E5335" w:rsidRPr="004D2D0D" w:rsidRDefault="000E5335"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bl>
    <w:p w:rsidR="000E5335" w:rsidRDefault="000E5335" w:rsidP="000E5335">
      <w:pPr>
        <w:spacing w:line="240" w:lineRule="auto"/>
      </w:pPr>
    </w:p>
    <w:p w:rsidR="000E5335" w:rsidRDefault="000E5335" w:rsidP="000E5335">
      <w:pPr>
        <w:spacing w:line="240" w:lineRule="auto"/>
      </w:pPr>
    </w:p>
    <w:p w:rsidR="000E5335" w:rsidRDefault="000E5335" w:rsidP="000E5335">
      <w:pPr>
        <w:spacing w:line="240" w:lineRule="auto"/>
      </w:pPr>
    </w:p>
    <w:p w:rsidR="000E5335" w:rsidRPr="004D2D0D" w:rsidRDefault="000E5335" w:rsidP="000E5335">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10"/>
        <w:gridCol w:w="3310"/>
        <w:gridCol w:w="61"/>
      </w:tblGrid>
      <w:tr w:rsidR="000E5335" w:rsidRPr="004D2D0D" w:rsidTr="006A69FA">
        <w:trPr>
          <w:trHeight w:val="149"/>
        </w:trPr>
        <w:tc>
          <w:tcPr>
            <w:tcW w:w="10267" w:type="dxa"/>
            <w:gridSpan w:val="6"/>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0E5335" w:rsidRPr="004D2D0D" w:rsidTr="006A69FA">
        <w:trPr>
          <w:gridAfter w:val="1"/>
          <w:wAfter w:w="61" w:type="dxa"/>
          <w:trHeight w:val="196"/>
        </w:trPr>
        <w:tc>
          <w:tcPr>
            <w:tcW w:w="10206" w:type="dxa"/>
            <w:gridSpan w:val="5"/>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0E5335" w:rsidRPr="004D2D0D" w:rsidTr="006A69FA">
        <w:trPr>
          <w:gridAfter w:val="1"/>
          <w:wAfter w:w="61" w:type="dxa"/>
          <w:trHeight w:val="70"/>
        </w:trPr>
        <w:tc>
          <w:tcPr>
            <w:tcW w:w="6896"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0E5335" w:rsidRPr="004D2D0D" w:rsidTr="006A69FA">
        <w:trPr>
          <w:trHeight w:val="537"/>
        </w:trPr>
        <w:tc>
          <w:tcPr>
            <w:tcW w:w="10267" w:type="dxa"/>
            <w:gridSpan w:val="6"/>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E5335" w:rsidRPr="004D2D0D" w:rsidRDefault="000E5335" w:rsidP="006A69FA">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E5335" w:rsidRPr="004D2D0D" w:rsidRDefault="000E5335" w:rsidP="006A69FA">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E5335" w:rsidRPr="004D2D0D" w:rsidRDefault="000E5335"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0E5335" w:rsidRPr="004D2D0D" w:rsidTr="006A69FA">
        <w:trPr>
          <w:trHeight w:val="208"/>
        </w:trPr>
        <w:tc>
          <w:tcPr>
            <w:tcW w:w="10267" w:type="dxa"/>
            <w:gridSpan w:val="6"/>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0E5335" w:rsidRPr="004D2D0D" w:rsidTr="006A69FA">
        <w:trPr>
          <w:trHeight w:val="268"/>
        </w:trPr>
        <w:tc>
          <w:tcPr>
            <w:tcW w:w="4845" w:type="dxa"/>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0E5335" w:rsidRPr="004D2D0D" w:rsidTr="006A69FA">
        <w:trPr>
          <w:trHeight w:val="344"/>
        </w:trPr>
        <w:tc>
          <w:tcPr>
            <w:tcW w:w="4845" w:type="dxa"/>
            <w:tcBorders>
              <w:top w:val="nil"/>
              <w:left w:val="nil"/>
              <w:bottom w:val="single" w:sz="8" w:space="0" w:color="000000"/>
              <w:right w:val="nil"/>
            </w:tcBorders>
            <w:vAlign w:val="bottom"/>
          </w:tcPr>
          <w:p w:rsidR="000E5335" w:rsidRPr="004D2D0D" w:rsidRDefault="000E533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0E5335" w:rsidRPr="004D2D0D" w:rsidRDefault="000E5335" w:rsidP="006A69FA">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0E5335" w:rsidRPr="004D2D0D" w:rsidTr="006A69FA">
        <w:trPr>
          <w:trHeight w:val="161"/>
        </w:trPr>
        <w:tc>
          <w:tcPr>
            <w:tcW w:w="4845" w:type="dxa"/>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0E5335" w:rsidRPr="004D2D0D" w:rsidTr="006A69FA">
        <w:trPr>
          <w:trHeight w:val="271"/>
        </w:trPr>
        <w:tc>
          <w:tcPr>
            <w:tcW w:w="4845" w:type="dxa"/>
            <w:tcBorders>
              <w:top w:val="nil"/>
              <w:left w:val="nil"/>
              <w:bottom w:val="single" w:sz="8" w:space="0" w:color="000000"/>
              <w:right w:val="nil"/>
            </w:tcBorders>
            <w:vAlign w:val="bottom"/>
          </w:tcPr>
          <w:p w:rsidR="000E5335" w:rsidRPr="004D2D0D" w:rsidRDefault="000E533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0E5335" w:rsidRPr="004D2D0D" w:rsidRDefault="000E533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0E5335" w:rsidRPr="004D2D0D" w:rsidTr="006A69FA">
        <w:trPr>
          <w:trHeight w:val="161"/>
        </w:trPr>
        <w:tc>
          <w:tcPr>
            <w:tcW w:w="4845" w:type="dxa"/>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0E5335" w:rsidRPr="004D2D0D" w:rsidTr="006A69FA">
        <w:trPr>
          <w:trHeight w:val="322"/>
        </w:trPr>
        <w:tc>
          <w:tcPr>
            <w:tcW w:w="4845" w:type="dxa"/>
            <w:tcBorders>
              <w:top w:val="nil"/>
              <w:left w:val="nil"/>
              <w:bottom w:val="single" w:sz="8" w:space="0" w:color="000000"/>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val="restart"/>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0E5335" w:rsidRPr="004D2D0D" w:rsidTr="006A69FA">
        <w:trPr>
          <w:trHeight w:val="161"/>
        </w:trPr>
        <w:tc>
          <w:tcPr>
            <w:tcW w:w="4845" w:type="dxa"/>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10"/>
                <w:szCs w:val="10"/>
              </w:rPr>
            </w:pPr>
          </w:p>
        </w:tc>
      </w:tr>
      <w:tr w:rsidR="000E5335" w:rsidRPr="004D2D0D" w:rsidTr="006A69FA">
        <w:trPr>
          <w:trHeight w:val="230"/>
        </w:trPr>
        <w:tc>
          <w:tcPr>
            <w:tcW w:w="4845" w:type="dxa"/>
            <w:vMerge w:val="restart"/>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20"/>
                <w:szCs w:val="20"/>
              </w:rPr>
            </w:pPr>
          </w:p>
        </w:tc>
      </w:tr>
      <w:tr w:rsidR="000E5335" w:rsidRPr="004D2D0D" w:rsidTr="006A69FA">
        <w:trPr>
          <w:trHeight w:val="145"/>
        </w:trPr>
        <w:tc>
          <w:tcPr>
            <w:tcW w:w="4845"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0E5335" w:rsidRPr="004D2D0D" w:rsidTr="006A69FA">
        <w:trPr>
          <w:trHeight w:val="70"/>
        </w:trPr>
        <w:tc>
          <w:tcPr>
            <w:tcW w:w="4845" w:type="dxa"/>
            <w:tcBorders>
              <w:top w:val="nil"/>
              <w:left w:val="nil"/>
              <w:bottom w:val="single" w:sz="8" w:space="0" w:color="000000"/>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single" w:sz="8" w:space="0" w:color="000000"/>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0E5335" w:rsidRPr="004D2D0D" w:rsidTr="006A69FA">
        <w:trPr>
          <w:trHeight w:val="215"/>
        </w:trPr>
        <w:tc>
          <w:tcPr>
            <w:tcW w:w="4845"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14"/>
                <w:szCs w:val="14"/>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0E5335" w:rsidRPr="004D2D0D" w:rsidTr="006A69FA">
        <w:trPr>
          <w:trHeight w:val="163"/>
        </w:trPr>
        <w:tc>
          <w:tcPr>
            <w:tcW w:w="4845" w:type="dxa"/>
            <w:tcBorders>
              <w:top w:val="nil"/>
              <w:left w:val="nil"/>
              <w:bottom w:val="single" w:sz="8" w:space="0" w:color="000000"/>
              <w:right w:val="nil"/>
            </w:tcBorders>
            <w:vAlign w:val="bottom"/>
          </w:tcPr>
          <w:p w:rsidR="000E5335" w:rsidRPr="004D2D0D" w:rsidRDefault="000E533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0E5335" w:rsidRPr="004D2D0D" w:rsidRDefault="000E533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0E5335" w:rsidRPr="004D2D0D" w:rsidTr="006A69FA">
        <w:trPr>
          <w:trHeight w:val="376"/>
        </w:trPr>
        <w:tc>
          <w:tcPr>
            <w:tcW w:w="4845" w:type="dxa"/>
            <w:tcBorders>
              <w:top w:val="nil"/>
              <w:left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0E5335" w:rsidRPr="004D2D0D" w:rsidTr="006A69FA">
        <w:trPr>
          <w:trHeight w:val="326"/>
        </w:trPr>
        <w:tc>
          <w:tcPr>
            <w:tcW w:w="4845" w:type="dxa"/>
            <w:tcBorders>
              <w:top w:val="nil"/>
              <w:left w:val="nil"/>
              <w:bottom w:val="single" w:sz="4" w:space="0" w:color="auto"/>
              <w:right w:val="nil"/>
            </w:tcBorders>
            <w:vAlign w:val="bottom"/>
          </w:tcPr>
          <w:p w:rsidR="000E5335" w:rsidRPr="004D2D0D" w:rsidRDefault="000E5335"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vAlign w:val="bottom"/>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0E5335" w:rsidRPr="004D2D0D" w:rsidTr="006A69FA">
        <w:trPr>
          <w:trHeight w:val="161"/>
        </w:trPr>
        <w:tc>
          <w:tcPr>
            <w:tcW w:w="4845" w:type="dxa"/>
            <w:tcBorders>
              <w:top w:val="single" w:sz="4" w:space="0" w:color="auto"/>
              <w:left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0E5335" w:rsidRPr="004D2D0D" w:rsidTr="006A69FA">
        <w:trPr>
          <w:trHeight w:val="362"/>
        </w:trPr>
        <w:tc>
          <w:tcPr>
            <w:tcW w:w="4845" w:type="dxa"/>
            <w:tcBorders>
              <w:top w:val="nil"/>
              <w:left w:val="nil"/>
              <w:bottom w:val="single" w:sz="4" w:space="0" w:color="auto"/>
              <w:right w:val="nil"/>
            </w:tcBorders>
            <w:vAlign w:val="bottom"/>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4281" w:type="dxa"/>
            <w:gridSpan w:val="3"/>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r>
      <w:tr w:rsidR="000E5335" w:rsidRPr="004D2D0D" w:rsidTr="006A69FA">
        <w:trPr>
          <w:trHeight w:val="141"/>
        </w:trPr>
        <w:tc>
          <w:tcPr>
            <w:tcW w:w="4845" w:type="dxa"/>
            <w:tcBorders>
              <w:top w:val="single" w:sz="4" w:space="0" w:color="auto"/>
              <w:left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376"/>
        </w:trPr>
        <w:tc>
          <w:tcPr>
            <w:tcW w:w="4845" w:type="dxa"/>
            <w:tcBorders>
              <w:top w:val="nil"/>
              <w:left w:val="nil"/>
              <w:bottom w:val="single" w:sz="4" w:space="0" w:color="auto"/>
              <w:right w:val="nil"/>
            </w:tcBorders>
            <w:vAlign w:val="bottom"/>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346"/>
        </w:trPr>
        <w:tc>
          <w:tcPr>
            <w:tcW w:w="4845" w:type="dxa"/>
            <w:tcBorders>
              <w:top w:val="single" w:sz="4" w:space="0" w:color="auto"/>
              <w:left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222"/>
        </w:trPr>
        <w:tc>
          <w:tcPr>
            <w:tcW w:w="4845" w:type="dxa"/>
            <w:tcBorders>
              <w:top w:val="nil"/>
              <w:left w:val="nil"/>
              <w:bottom w:val="single" w:sz="4" w:space="0" w:color="auto"/>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376"/>
        </w:trPr>
        <w:tc>
          <w:tcPr>
            <w:tcW w:w="4845" w:type="dxa"/>
            <w:tcBorders>
              <w:top w:val="single" w:sz="4" w:space="0" w:color="auto"/>
              <w:left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376"/>
        </w:trPr>
        <w:tc>
          <w:tcPr>
            <w:tcW w:w="4845" w:type="dxa"/>
            <w:tcBorders>
              <w:top w:val="nil"/>
              <w:left w:val="nil"/>
              <w:bottom w:val="single" w:sz="4" w:space="0" w:color="auto"/>
              <w:right w:val="nil"/>
            </w:tcBorders>
          </w:tcPr>
          <w:p w:rsidR="000E5335" w:rsidRPr="004D2D0D" w:rsidRDefault="000E5335"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281"/>
        </w:trPr>
        <w:tc>
          <w:tcPr>
            <w:tcW w:w="4845" w:type="dxa"/>
            <w:tcBorders>
              <w:top w:val="single" w:sz="4" w:space="0" w:color="auto"/>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133"/>
        </w:trPr>
        <w:tc>
          <w:tcPr>
            <w:tcW w:w="4845" w:type="dxa"/>
            <w:tcBorders>
              <w:top w:val="nil"/>
              <w:left w:val="nil"/>
              <w:bottom w:val="nil"/>
              <w:right w:val="nil"/>
            </w:tcBorders>
            <w:vAlign w:val="bottom"/>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121"/>
        </w:trPr>
        <w:tc>
          <w:tcPr>
            <w:tcW w:w="4845" w:type="dxa"/>
            <w:tcBorders>
              <w:top w:val="nil"/>
              <w:left w:val="nil"/>
              <w:bottom w:val="nil"/>
              <w:right w:val="nil"/>
            </w:tcBorders>
            <w:vAlign w:val="center"/>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70"/>
        </w:trPr>
        <w:tc>
          <w:tcPr>
            <w:tcW w:w="4845"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0E5335" w:rsidRPr="004D2D0D" w:rsidTr="006A69FA">
        <w:trPr>
          <w:trHeight w:val="70"/>
        </w:trPr>
        <w:tc>
          <w:tcPr>
            <w:tcW w:w="4845"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0E5335" w:rsidRPr="004D2D0D" w:rsidRDefault="000E5335"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E5335" w:rsidRPr="004D2D0D" w:rsidRDefault="000E5335" w:rsidP="000E5335">
      <w:pPr>
        <w:spacing w:after="0" w:line="240" w:lineRule="auto"/>
        <w:rPr>
          <w:rFonts w:ascii="Times New Roman" w:hAnsi="Times New Roman"/>
          <w:sz w:val="24"/>
          <w:szCs w:val="24"/>
        </w:rPr>
      </w:pPr>
      <w:r w:rsidRPr="004D2D0D">
        <w:br w:type="page"/>
      </w:r>
      <w:r w:rsidRPr="004D2D0D">
        <w:rPr>
          <w:rFonts w:ascii="Times New Roman" w:hAnsi="Times New Roman"/>
          <w:sz w:val="24"/>
          <w:szCs w:val="24"/>
        </w:rPr>
        <w:lastRenderedPageBreak/>
        <w:t>Примечания:</w:t>
      </w:r>
    </w:p>
    <w:p w:rsidR="000E5335" w:rsidRPr="004D2D0D" w:rsidRDefault="000E5335" w:rsidP="000E5335">
      <w:pPr>
        <w:spacing w:after="0" w:line="240" w:lineRule="auto"/>
        <w:jc w:val="both"/>
        <w:rPr>
          <w:rFonts w:ascii="Times New Roman" w:hAnsi="Times New Roman"/>
          <w:sz w:val="24"/>
          <w:szCs w:val="24"/>
        </w:rPr>
      </w:pPr>
      <w:r w:rsidRPr="004D2D0D">
        <w:rPr>
          <w:rFonts w:ascii="Times New Roman" w:hAnsi="Times New Roman"/>
          <w:sz w:val="24"/>
          <w:szCs w:val="24"/>
        </w:rPr>
        <w:t>&lt;1&gt; 1. При расчете платы за технологическое присоединение по тарифу за единицу максимальной мощности п.10 договора необходимо дополнять таблицей:</w:t>
      </w:r>
    </w:p>
    <w:tbl>
      <w:tblPr>
        <w:tblW w:w="10267" w:type="dxa"/>
        <w:tblInd w:w="15" w:type="dxa"/>
        <w:tblLayout w:type="fixed"/>
        <w:tblCellMar>
          <w:left w:w="15" w:type="dxa"/>
          <w:right w:w="15" w:type="dxa"/>
        </w:tblCellMar>
        <w:tblLook w:val="0000" w:firstRow="0" w:lastRow="0" w:firstColumn="0" w:lastColumn="0" w:noHBand="0" w:noVBand="0"/>
      </w:tblPr>
      <w:tblGrid>
        <w:gridCol w:w="2048"/>
        <w:gridCol w:w="2055"/>
        <w:gridCol w:w="2054"/>
        <w:gridCol w:w="2055"/>
        <w:gridCol w:w="2055"/>
      </w:tblGrid>
      <w:tr w:rsidR="000E5335" w:rsidRPr="004D2D0D" w:rsidTr="006A69FA">
        <w:trPr>
          <w:trHeight w:val="540"/>
        </w:trPr>
        <w:tc>
          <w:tcPr>
            <w:tcW w:w="2048"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Мощность, кВт</w:t>
            </w:r>
          </w:p>
        </w:tc>
        <w:tc>
          <w:tcPr>
            <w:tcW w:w="2055"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Ставка платы, руб./кВт</w:t>
            </w:r>
          </w:p>
        </w:tc>
        <w:tc>
          <w:tcPr>
            <w:tcW w:w="2054"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без НДС, руб.</w:t>
            </w:r>
          </w:p>
        </w:tc>
        <w:tc>
          <w:tcPr>
            <w:tcW w:w="2055"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НДС 20%, руб.</w:t>
            </w:r>
          </w:p>
        </w:tc>
        <w:tc>
          <w:tcPr>
            <w:tcW w:w="2055"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с НДС, руб.</w:t>
            </w:r>
          </w:p>
        </w:tc>
      </w:tr>
      <w:tr w:rsidR="000E5335" w:rsidRPr="004D2D0D" w:rsidTr="006A69FA">
        <w:trPr>
          <w:trHeight w:val="284"/>
        </w:trPr>
        <w:tc>
          <w:tcPr>
            <w:tcW w:w="2048"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4"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0E5335" w:rsidRPr="004D2D0D" w:rsidRDefault="000E5335"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bl>
    <w:p w:rsidR="000E5335" w:rsidRPr="004D2D0D" w:rsidRDefault="000E5335" w:rsidP="000E5335">
      <w:pPr>
        <w:spacing w:after="0" w:line="240" w:lineRule="auto"/>
        <w:rPr>
          <w:rFonts w:ascii="Times New Roman" w:hAnsi="Times New Roman"/>
          <w:sz w:val="24"/>
          <w:szCs w:val="24"/>
        </w:rPr>
      </w:pPr>
    </w:p>
    <w:p w:rsidR="000E5335" w:rsidRPr="004D2D0D" w:rsidRDefault="000E5335" w:rsidP="000E5335">
      <w:pPr>
        <w:spacing w:after="0" w:line="240" w:lineRule="auto"/>
        <w:ind w:firstLine="567"/>
        <w:jc w:val="both"/>
        <w:rPr>
          <w:rFonts w:ascii="Times New Roman" w:hAnsi="Times New Roman"/>
          <w:sz w:val="24"/>
          <w:szCs w:val="24"/>
        </w:rPr>
      </w:pPr>
      <w:r w:rsidRPr="004D2D0D">
        <w:rPr>
          <w:rFonts w:ascii="Times New Roman" w:hAnsi="Times New Roman"/>
          <w:sz w:val="24"/>
          <w:szCs w:val="24"/>
        </w:rPr>
        <w:t>2. При расчете платы за технологическое присоединение с применением стандартизированных ставок п.10 договора необходимо дополнять следующим расчетом:</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«Расчет платы за технологическое присоединение посредством применения стандартизированных тарифных ставок произведен согласно Приказа ФАС от 29 августа 2017 года № 1135/17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Стандартизированные тарифные ставки – ставки, включающие расходы по мероприятиям, в соответствии с Методическими указаниями, в том числе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определяемых по каждому мероприятию.</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В соответствии с приложением №3 к постановлению Региональной Энергетической Комиссии Кемеровской области от _</w:t>
      </w:r>
      <w:proofErr w:type="gramStart"/>
      <w:r w:rsidRPr="004D2D0D">
        <w:rPr>
          <w:rFonts w:ascii="Times New Roman" w:hAnsi="Times New Roman"/>
          <w:color w:val="000000"/>
          <w:sz w:val="24"/>
          <w:szCs w:val="24"/>
        </w:rPr>
        <w:t>_._</w:t>
      </w:r>
      <w:proofErr w:type="gramEnd"/>
      <w:r w:rsidRPr="004D2D0D">
        <w:rPr>
          <w:rFonts w:ascii="Times New Roman" w:hAnsi="Times New Roman"/>
          <w:color w:val="000000"/>
          <w:sz w:val="24"/>
          <w:szCs w:val="24"/>
        </w:rPr>
        <w:t xml:space="preserve">_.____ № _____ размер платы за технологическое присоединение посредством применения стандартизированных ставок рассчитывается по следующей формуле, руб.: </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P=C</w:t>
      </w:r>
      <w:r w:rsidRPr="004D2D0D">
        <w:rPr>
          <w:rFonts w:ascii="Times New Roman" w:hAnsi="Times New Roman"/>
          <w:i/>
          <w:iCs/>
          <w:color w:val="000000"/>
          <w:sz w:val="24"/>
          <w:szCs w:val="24"/>
          <w:vertAlign w:val="subscript"/>
        </w:rPr>
        <w:t>1</w:t>
      </w:r>
      <w:r w:rsidRPr="004D2D0D">
        <w:rPr>
          <w:rFonts w:ascii="Times New Roman" w:hAnsi="Times New Roman"/>
          <w:i/>
          <w:iCs/>
          <w:color w:val="000000"/>
          <w:sz w:val="24"/>
          <w:szCs w:val="24"/>
        </w:rPr>
        <w:t>+Σ(C</w:t>
      </w:r>
      <w:proofErr w:type="gramStart"/>
      <w:r w:rsidRPr="004D2D0D">
        <w:rPr>
          <w:rFonts w:ascii="Times New Roman" w:hAnsi="Times New Roman"/>
          <w:i/>
          <w:iCs/>
          <w:color w:val="000000"/>
          <w:sz w:val="24"/>
          <w:szCs w:val="24"/>
          <w:vertAlign w:val="subscript"/>
        </w:rPr>
        <w:t>2.i</w:t>
      </w:r>
      <w:proofErr w:type="gramEnd"/>
      <w:r w:rsidRPr="004D2D0D">
        <w:rPr>
          <w:rFonts w:ascii="Times New Roman" w:hAnsi="Times New Roman"/>
          <w:color w:val="000000"/>
          <w:sz w:val="24"/>
          <w:szCs w:val="24"/>
        </w:rPr>
        <w:t>*L</w:t>
      </w:r>
      <w:r w:rsidRPr="004D2D0D">
        <w:rPr>
          <w:rFonts w:ascii="Times New Roman" w:hAnsi="Times New Roman"/>
          <w:color w:val="000000"/>
          <w:sz w:val="24"/>
          <w:szCs w:val="24"/>
          <w:vertAlign w:val="subscript"/>
        </w:rPr>
        <w:t>2.</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*Q</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5.</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6.</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7.</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)+Σ(С</w:t>
      </w:r>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r w:rsidRPr="004D2D0D">
        <w:rPr>
          <w:rFonts w:ascii="Times New Roman" w:hAnsi="Times New Roman"/>
          <w:color w:val="000000"/>
          <w:sz w:val="24"/>
          <w:szCs w:val="24"/>
        </w:rPr>
        <w:t>*</w:t>
      </w:r>
      <w:r w:rsidRPr="004D2D0D">
        <w:rPr>
          <w:rFonts w:ascii="Times New Roman" w:hAnsi="Times New Roman"/>
          <w:iCs/>
          <w:color w:val="000000"/>
          <w:sz w:val="24"/>
          <w:szCs w:val="24"/>
        </w:rPr>
        <w:t xml:space="preserve"> </w:t>
      </w: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i/>
          <w:iCs/>
          <w:color w:val="000000"/>
          <w:sz w:val="24"/>
          <w:szCs w:val="24"/>
        </w:rPr>
        <w:t>)</w:t>
      </w:r>
      <w:r w:rsidRPr="004D2D0D">
        <w:rPr>
          <w:rFonts w:ascii="Times New Roman" w:hAnsi="Times New Roman"/>
          <w:color w:val="000000"/>
          <w:sz w:val="24"/>
          <w:szCs w:val="24"/>
        </w:rPr>
        <w:t xml:space="preserve"> - Общая плата за технологическое присоединение Заявителя согласно техническим условиям (без НДС),</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P = ________________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w:t>
      </w:r>
      <w:r w:rsidRPr="004D2D0D">
        <w:rPr>
          <w:rFonts w:ascii="Times New Roman" w:hAnsi="Times New Roman"/>
          <w:color w:val="000000"/>
          <w:sz w:val="24"/>
          <w:szCs w:val="24"/>
        </w:rPr>
        <w:br/>
        <w:t xml:space="preserve"> </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P</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плата за технологическое присоединение, если отсутствует необходимость реализации мероприятий «последней мили»,</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где:</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r w:rsidRPr="004D2D0D">
        <w:rPr>
          <w:rFonts w:ascii="Times New Roman" w:hAnsi="Times New Roman"/>
          <w:i/>
          <w:iCs/>
          <w:color w:val="000000"/>
          <w:sz w:val="24"/>
          <w:szCs w:val="24"/>
          <w:vertAlign w:val="subscript"/>
        </w:rPr>
        <w:t>1</w:t>
      </w:r>
      <w:r w:rsidRPr="004D2D0D">
        <w:rPr>
          <w:rFonts w:ascii="Times New Roman" w:hAnsi="Times New Roman"/>
          <w:color w:val="000000"/>
          <w:sz w:val="24"/>
          <w:szCs w:val="24"/>
        </w:rPr>
        <w:t xml:space="preserve"> - стандартизированная тарифная ставка на покрытие расходов на технологическое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4D2D0D">
        <w:rPr>
          <w:rFonts w:ascii="Times New Roman" w:hAnsi="Times New Roman"/>
          <w:color w:val="000000"/>
          <w:sz w:val="24"/>
          <w:szCs w:val="24"/>
        </w:rPr>
        <w:t>реклоузеров</w:t>
      </w:r>
      <w:proofErr w:type="spellEnd"/>
      <w:r w:rsidRPr="004D2D0D">
        <w:rPr>
          <w:rFonts w:ascii="Times New Roman" w:hAnsi="Times New Roman"/>
          <w:color w:val="000000"/>
          <w:sz w:val="24"/>
          <w:szCs w:val="24"/>
        </w:rPr>
        <w:t>, распределительных пунктов, переключательных пунктов),</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5.i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5.</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6.i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6.</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7.i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4D2D0D">
        <w:rPr>
          <w:rFonts w:ascii="Times New Roman" w:hAnsi="Times New Roman"/>
          <w:color w:val="000000"/>
          <w:sz w:val="24"/>
          <w:szCs w:val="24"/>
        </w:rPr>
        <w:t>кВ</w:t>
      </w:r>
      <w:proofErr w:type="spellEnd"/>
      <w:r w:rsidRPr="004D2D0D">
        <w:rPr>
          <w:rFonts w:ascii="Times New Roman" w:hAnsi="Times New Roman"/>
          <w:color w:val="000000"/>
          <w:sz w:val="24"/>
          <w:szCs w:val="24"/>
        </w:rPr>
        <w:t xml:space="preserve"> и выше (ПС),</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7.</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объем максимальной мощности, указанный в заявке на технологическое присоединение Заявителем,</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_________ кВт;</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proofErr w:type="gramEnd"/>
      <w:r w:rsidRPr="004D2D0D">
        <w:rPr>
          <w:rFonts w:ascii="Times New Roman" w:hAnsi="Times New Roman"/>
          <w:color w:val="000000"/>
          <w:sz w:val="24"/>
          <w:szCs w:val="24"/>
        </w:rPr>
        <w:t xml:space="preserve"> стандартизированная тарифная ставка на покрытие расходов на обеспечение средствами коммерческого учета электрической энергии (мощности)</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/точка учёта;</w:t>
      </w: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C2.i</w:t>
      </w:r>
      <w:r w:rsidRPr="004D2D0D">
        <w:rPr>
          <w:rFonts w:ascii="Times New Roman" w:hAnsi="Times New Roman"/>
          <w:color w:val="000000"/>
          <w:sz w:val="24"/>
          <w:szCs w:val="24"/>
        </w:rPr>
        <w:t>, L</w:t>
      </w:r>
      <w:r w:rsidRPr="004D2D0D">
        <w:rPr>
          <w:rFonts w:ascii="Times New Roman" w:hAnsi="Times New Roman"/>
          <w:i/>
          <w:color w:val="000000"/>
          <w:sz w:val="24"/>
          <w:szCs w:val="24"/>
          <w:vertAlign w:val="subscript"/>
        </w:rPr>
        <w:t>C3.i</w:t>
      </w:r>
      <w:r w:rsidRPr="004D2D0D">
        <w:rPr>
          <w:rFonts w:ascii="Times New Roman" w:hAnsi="Times New Roman"/>
          <w:color w:val="000000"/>
          <w:sz w:val="24"/>
          <w:szCs w:val="24"/>
        </w:rPr>
        <w:t xml:space="preserve"> - суммарная протяженность воздушный и (или) кабельных линий, строительство которых предусмотрено согласно выданных технических условий для технологического присоединения Заявителя (км),</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2.i</w:t>
      </w:r>
      <w:r w:rsidRPr="004D2D0D">
        <w:rPr>
          <w:rFonts w:ascii="Times New Roman" w:hAnsi="Times New Roman"/>
          <w:color w:val="000000"/>
          <w:sz w:val="24"/>
          <w:szCs w:val="24"/>
          <w:vertAlign w:val="subscript"/>
          <w:lang w:val="en-US"/>
        </w:rPr>
        <w:t>.</w:t>
      </w:r>
      <w:r w:rsidRPr="004D2D0D">
        <w:rPr>
          <w:rFonts w:ascii="Times New Roman" w:hAnsi="Times New Roman"/>
          <w:color w:val="000000"/>
          <w:sz w:val="24"/>
          <w:szCs w:val="24"/>
          <w:lang w:val="en-US"/>
        </w:rPr>
        <w:t xml:space="preserve"> = _____________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3.i</w:t>
      </w:r>
      <w:r w:rsidRPr="004D2D0D">
        <w:rPr>
          <w:rFonts w:ascii="Times New Roman" w:hAnsi="Times New Roman"/>
          <w:color w:val="000000"/>
          <w:sz w:val="24"/>
          <w:szCs w:val="24"/>
          <w:lang w:val="en-US"/>
        </w:rPr>
        <w:t xml:space="preserve"> = 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lang w:val="en-US"/>
        </w:rPr>
      </w:pPr>
    </w:p>
    <w:p w:rsidR="000E5335" w:rsidRPr="004D2D0D" w:rsidRDefault="000E5335" w:rsidP="000E5335">
      <w:pPr>
        <w:widowControl w:val="0"/>
        <w:autoSpaceDE w:val="0"/>
        <w:autoSpaceDN w:val="0"/>
        <w:adjustRightInd w:val="0"/>
        <w:spacing w:before="30" w:after="0" w:line="240" w:lineRule="auto"/>
        <w:ind w:firstLine="572"/>
        <w:rPr>
          <w:rFonts w:ascii="Tahoma" w:hAnsi="Tahoma" w:cs="Tahoma"/>
          <w:sz w:val="24"/>
          <w:szCs w:val="24"/>
        </w:rPr>
      </w:pPr>
      <w:r w:rsidRPr="004D2D0D">
        <w:rPr>
          <w:rFonts w:ascii="Times New Roman" w:hAnsi="Times New Roman"/>
          <w:i/>
          <w:iCs/>
          <w:color w:val="000000"/>
          <w:sz w:val="24"/>
          <w:szCs w:val="24"/>
        </w:rPr>
        <w:t>Q</w:t>
      </w:r>
      <w:r w:rsidRPr="004D2D0D">
        <w:rPr>
          <w:rFonts w:ascii="Times New Roman" w:hAnsi="Times New Roman"/>
          <w:color w:val="000000"/>
          <w:sz w:val="24"/>
          <w:szCs w:val="24"/>
        </w:rPr>
        <w:t xml:space="preserve"> - необходимое количество пунктов секционирования (шт.)</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
          <w:iCs/>
          <w:color w:val="000000"/>
          <w:sz w:val="24"/>
          <w:szCs w:val="24"/>
        </w:rPr>
        <w:t>Q</w:t>
      </w:r>
      <w:proofErr w:type="gramStart"/>
      <w:r w:rsidRPr="004D2D0D">
        <w:rPr>
          <w:rFonts w:ascii="Times New Roman" w:hAnsi="Times New Roman"/>
          <w:i/>
          <w:iCs/>
          <w:color w:val="000000"/>
          <w:sz w:val="24"/>
          <w:szCs w:val="24"/>
          <w:vertAlign w:val="subscript"/>
        </w:rPr>
        <w:t>4.i</w:t>
      </w:r>
      <w:proofErr w:type="gramEnd"/>
      <w:r w:rsidRPr="004D2D0D">
        <w:rPr>
          <w:rFonts w:ascii="Times New Roman" w:hAnsi="Times New Roman"/>
          <w:color w:val="000000"/>
          <w:sz w:val="24"/>
          <w:szCs w:val="24"/>
        </w:rPr>
        <w:t xml:space="preserve"> = ____________ шт.;</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 xml:space="preserve"> - количество точек учёта (шт.)</w:t>
      </w:r>
    </w:p>
    <w:p w:rsidR="000E5335" w:rsidRPr="004D2D0D" w:rsidRDefault="000E5335" w:rsidP="000E5335">
      <w:pPr>
        <w:widowControl w:val="0"/>
        <w:autoSpaceDE w:val="0"/>
        <w:autoSpaceDN w:val="0"/>
        <w:adjustRightInd w:val="0"/>
        <w:spacing w:after="0" w:line="240" w:lineRule="auto"/>
        <w:ind w:firstLine="537"/>
        <w:rPr>
          <w:rFonts w:ascii="Times New Roman" w:hAnsi="Times New Roman"/>
          <w:color w:val="000000"/>
          <w:sz w:val="24"/>
          <w:szCs w:val="24"/>
        </w:rPr>
      </w:pPr>
    </w:p>
    <w:p w:rsidR="000E5335" w:rsidRPr="004D2D0D" w:rsidRDefault="000E5335" w:rsidP="000E5335">
      <w:pPr>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4D2D0D">
        <w:rPr>
          <w:rFonts w:ascii="Times New Roman" w:hAnsi="Times New Roman"/>
          <w:color w:val="000000"/>
          <w:sz w:val="24"/>
          <w:szCs w:val="24"/>
        </w:rPr>
        <w:t>Робщ</w:t>
      </w:r>
      <w:proofErr w:type="spellEnd"/>
      <w:r w:rsidRPr="004D2D0D">
        <w:rPr>
          <w:rFonts w:ascii="Times New Roman" w:hAnsi="Times New Roman"/>
          <w:color w:val="000000"/>
          <w:sz w:val="24"/>
          <w:szCs w:val="24"/>
        </w:rPr>
        <w:t>) определяется следующим образом:</w:t>
      </w:r>
    </w:p>
    <w:p w:rsidR="000E5335" w:rsidRPr="004D2D0D" w:rsidRDefault="000E5335" w:rsidP="000E5335">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p w:rsidR="000E5335" w:rsidRPr="004D2D0D" w:rsidRDefault="000E5335" w:rsidP="000E5335">
      <w:pPr>
        <w:spacing w:after="0" w:line="240" w:lineRule="auto"/>
        <w:rPr>
          <w:rFonts w:ascii="Times New Roman" w:hAnsi="Times New Roman"/>
          <w:color w:val="000000"/>
          <w:sz w:val="24"/>
          <w:szCs w:val="24"/>
        </w:rPr>
      </w:pPr>
      <w:proofErr w:type="spellStart"/>
      <w:r w:rsidRPr="004D2D0D">
        <w:rPr>
          <w:rFonts w:ascii="Times New Roman" w:hAnsi="Times New Roman"/>
          <w:color w:val="000000"/>
          <w:sz w:val="24"/>
          <w:szCs w:val="24"/>
        </w:rPr>
        <w:t>Pобщ</w:t>
      </w:r>
      <w:proofErr w:type="spellEnd"/>
      <w:r w:rsidRPr="004D2D0D">
        <w:rPr>
          <w:rFonts w:ascii="Times New Roman" w:hAnsi="Times New Roman"/>
          <w:color w:val="000000"/>
          <w:sz w:val="24"/>
          <w:szCs w:val="24"/>
        </w:rPr>
        <w:t>= P + (Pист1 + Pист2)</w:t>
      </w:r>
    </w:p>
    <w:p w:rsidR="000E5335" w:rsidRPr="004D2D0D" w:rsidRDefault="000E5335" w:rsidP="000E5335">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p w:rsidR="000E5335" w:rsidRPr="004D2D0D" w:rsidRDefault="000E5335" w:rsidP="000E5335">
      <w:pPr>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Р - расходы на технологическое присоединение, связанные с проведением мероприятий, указанных в п. 16 Методических указаний по определению размера платы за технологическое присоединение к электрическим сетям, за исключением указанных в подпункте "б" (руб.);</w:t>
      </w:r>
    </w:p>
    <w:p w:rsidR="000E5335" w:rsidRPr="004D2D0D" w:rsidRDefault="000E5335" w:rsidP="000E5335">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0E5335" w:rsidRPr="004D2D0D" w:rsidRDefault="000E5335" w:rsidP="000E5335">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0E5335" w:rsidRDefault="000E5335" w:rsidP="000E5335"/>
    <w:p w:rsidR="002F409F" w:rsidRPr="000E5335" w:rsidRDefault="000E5335" w:rsidP="000E5335">
      <w:pPr>
        <w:tabs>
          <w:tab w:val="left" w:pos="4080"/>
        </w:tabs>
      </w:pPr>
      <w:r>
        <w:tab/>
      </w:r>
      <w:bookmarkStart w:id="0" w:name="_GoBack"/>
      <w:bookmarkEnd w:id="0"/>
    </w:p>
    <w:sectPr w:rsidR="002F409F" w:rsidRPr="000E5335" w:rsidSect="00F97793">
      <w:footerReference w:type="default" r:id="rId8"/>
      <w:footerReference w:type="first" r:id="rId9"/>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5335"/>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152FA"/>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119"/>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ABC86"/>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AB5C-4117-439F-A405-6EFCAA3D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2422</Words>
  <Characters>18993</Characters>
  <Application>Microsoft Office Word</Application>
  <DocSecurity>0</DocSecurity>
  <Lines>158</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20</cp:revision>
  <cp:lastPrinted>2020-06-08T06:36:00Z</cp:lastPrinted>
  <dcterms:created xsi:type="dcterms:W3CDTF">2020-06-08T05:55:00Z</dcterms:created>
  <dcterms:modified xsi:type="dcterms:W3CDTF">2020-06-26T07:16:00Z</dcterms:modified>
</cp:coreProperties>
</file>