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2010 г. N 02-03-06/5448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финансов Российской Федерации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59</w:t>
        </w:r>
      </w:hyperlink>
      <w:r>
        <w:rPr>
          <w:rFonts w:ascii="Calibri" w:hAnsi="Calibri" w:cs="Calibri"/>
        </w:rPr>
        <w:t xml:space="preserve"> распоряжения Правительства Российской Федерации от 1 декабря 2009 г. N 1830-р, во исполнение поручения Президента Российской Федерации от 03.11.2010 N Пр-3211 по вопросу возможности использования государственными (муниципальными) учреждениями средств, сэкономленных в результате мероприятий по энергосбережению и повышению энергетической эффективности, сообщает.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24</w:t>
        </w:r>
      </w:hyperlink>
      <w:r>
        <w:rPr>
          <w:rFonts w:ascii="Calibri" w:hAnsi="Calibri" w:cs="Calibri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Закон N 261-ФЗ) начиная с 1 января 2010 года государственное (муниципальное) учреждение обязано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процента.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и оказание государственных (муниципальных) услуг, выполнение работ находящимися в их ведении государственными (муниципальными) учреждениями на основании данных об объеме фактически потребленных учреждениями в 2009 году каждого из вышеуказанных ресурсов, уменьшенном в сопоставимых условиях на пятнадцать процентов в течение пяти лет, с ежегодным снижением такого объема на три процента.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2011 г. эти требования распространяются на все типы государственных (муниципальных) учреждений: казенные, бюджетные, автономные.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Учитывая, что для каждого типа государственного (муниципального) учреждения законодательство Российской Федерации предусматривает разные способы финансового обеспечения деятельности, экономия средств, достигнутая за счет дополнительного, по сравнению с учтенным при планировании бюджетных ассигнований, снижения потребления, может быть использована государственным (муниципальным) учреждением с учетом особенностей финансового обеспечения типа данного учреждения.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2"/>
      <w:bookmarkEnd w:id="0"/>
      <w:r>
        <w:rPr>
          <w:rFonts w:ascii="Calibri" w:hAnsi="Calibri" w:cs="Calibri"/>
        </w:rPr>
        <w:t>Казенные учреждения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ходе исполнения бюджета могут быть уточнены лимиты бюджетных обязательств, в том числе в случае увеличения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217</w:t>
        </w:r>
      </w:hyperlink>
      <w:r>
        <w:rPr>
          <w:rFonts w:ascii="Calibri" w:hAnsi="Calibri" w:cs="Calibri"/>
        </w:rPr>
        <w:t xml:space="preserve"> Бюджетного кодекса Российской Федерации (далее - Кодекс)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(муниципальных)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государственных (муниципальных) услуг при условии, что увеличение бюджетных ассигнований по соответствующему виду расходов не превышает 10 процентов.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</w:t>
      </w:r>
      <w:hyperlink r:id="rId8" w:history="1">
        <w:r>
          <w:rPr>
            <w:rFonts w:ascii="Calibri" w:hAnsi="Calibri" w:cs="Calibri"/>
            <w:color w:val="0000FF"/>
          </w:rPr>
          <w:t>статьями 217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219.1</w:t>
        </w:r>
      </w:hyperlink>
      <w:r>
        <w:rPr>
          <w:rFonts w:ascii="Calibri" w:hAnsi="Calibri" w:cs="Calibri"/>
        </w:rPr>
        <w:t xml:space="preserve"> Кодекса предусмотрена возможность руководителя финансового органа утверждать лимиты бюджетных обязательств по "укрупненным" показателям кодов классификации операций сектора государственного управления.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нормы законодательства Российской Федерации предоставляют возможность направлять сложившуюся экономию по оплате коммунальных услуг (в части услуг по энергосервисным договорам) на другие расходы учреждения казенного учреждения после </w:t>
      </w:r>
      <w:r>
        <w:rPr>
          <w:rFonts w:ascii="Calibri" w:hAnsi="Calibri" w:cs="Calibri"/>
        </w:rPr>
        <w:lastRenderedPageBreak/>
        <w:t>изменения в установленном порядке лимитов бюджетных обязательств, доведенных ему для оплаты потребляемых ресурсов на финансовое обеспечение расходов, связанных с выполнением функций учреждения, в том числе на увеличение фонда оплаты труда (без учета указанного увеличения при индексации фондов оплаты труда).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необходимо отметить, что в части федерального бюджета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31 декабря 2009 г. N 1181 "О мерах по реализации Федерального закона "О федеральном бюджете на 2010 год и на плановый период 2011 и 2012 годов" требования о недопущении увеличения утвержденных в установленном порядке лимитов бюджетных обязательств по заработной плате за счет экономии по использованию в текущем финансовом году лимитов бюджетных обязательств, предусмотренных на иные цели при оказании государственных услуг, не применяются в случае, если иное установлено федеральным законом (в том числе в части экономии, вызванной снижением потребления энергоресурсов, предусмотренное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261-ФЗ).</w:t>
      </w:r>
    </w:p>
    <w:p w:rsidR="002E4CD3" w:rsidRDefault="002E4CD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"О мерах по реализации Федерального закона "О федеральном бюджете на 2011 год и на плановый период 2012 и 2013 годов" принято 28.12.2010 N 1171. См. </w:t>
      </w:r>
      <w:hyperlink r:id="rId13" w:history="1">
        <w:r>
          <w:rPr>
            <w:rFonts w:ascii="Calibri" w:hAnsi="Calibri" w:cs="Calibri"/>
            <w:color w:val="0000FF"/>
          </w:rPr>
          <w:t>пункт 13</w:t>
        </w:r>
      </w:hyperlink>
      <w:r>
        <w:rPr>
          <w:rFonts w:ascii="Calibri" w:hAnsi="Calibri" w:cs="Calibri"/>
        </w:rPr>
        <w:t xml:space="preserve"> указанного Постановления.</w:t>
      </w:r>
    </w:p>
    <w:p w:rsidR="002E4CD3" w:rsidRDefault="002E4CD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Аналогичные положения предусмотрены пунктом 13 проекта Постановления Правительства Российской Федерации "О мерах по реализации Федерального закона "О федеральном бюджете на 2011 год и на плановый период 2012 и 2013 годов".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 отметить, что положения, установленные для казенных учреждений, распространяются и на бюджетные учреждения, в отношении которых в соответствии с положениями </w:t>
      </w:r>
      <w:hyperlink r:id="rId14" w:history="1">
        <w:r>
          <w:rPr>
            <w:rFonts w:ascii="Calibri" w:hAnsi="Calibri" w:cs="Calibri"/>
            <w:color w:val="0000FF"/>
          </w:rPr>
          <w:t>частей 15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16 статьи 33</w:t>
        </w:r>
      </w:hyperlink>
      <w:r>
        <w:rPr>
          <w:rFonts w:ascii="Calibri" w:hAnsi="Calibri" w:cs="Calibri"/>
        </w:rPr>
        <w:t xml:space="preserve"> Федерального закона от 8 мая 2010 г. N 83-ФЗ "О внесении изменений в отдельные законодательные акты Российской Федерации в связи с совершенствованием правого положения государственных (муниципальных) учреждений" (далее - Закон N 83-ФЗ) не принято решение о предоставлении им субсидий из соответствующего бюджета в соответствии с </w:t>
      </w:r>
      <w:hyperlink r:id="rId16" w:history="1">
        <w:r>
          <w:rPr>
            <w:rFonts w:ascii="Calibri" w:hAnsi="Calibri" w:cs="Calibri"/>
            <w:color w:val="0000FF"/>
          </w:rPr>
          <w:t>частью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которые являются получателями бюджетных средств.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Бюджетные и автономные учреждения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выполнения автономными, а с 1 января 2011 г. и бюджетными учреждениями государственного (муниципального) задания на оказание государственных услуг (выполнение работ) будет осуществляться путем предоставления указанным учреждениям субсидии из бюджета.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субсидии на финансовое обеспечение выполнения государственного (муниципального) задания рассчитывается исходя из нормативных затрат на оказание государственных услуг.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7" w:history="1">
        <w:r>
          <w:rPr>
            <w:rFonts w:ascii="Calibri" w:hAnsi="Calibri" w:cs="Calibri"/>
            <w:color w:val="0000FF"/>
          </w:rPr>
          <w:t>Методическими рекомендациями</w:t>
        </w:r>
      </w:hyperlink>
      <w:r>
        <w:rPr>
          <w:rFonts w:ascii="Calibri" w:hAnsi="Calibri" w:cs="Calibri"/>
        </w:rPr>
        <w:t xml:space="preserve">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учреждений, утвержденными совместным Приказом Минфина России и Минэкономразвития России от 29 октября 2010 г. N 136н/526, в указанные затраты подлежат включению нормативные затраты на коммунальные услуги, которые рассчитываются по видам энергетических ресурсов, в том числе исходя из нормативов потребления коммунальных услуг с учетом требований обеспечения энергоэффективности и энергосбережения.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Субсидии на выполнение государственного (муниципального) задания поступают бюджетным учреждениям на лицевые счета, открытые им в органе Федерального казначейства или в финансовом органе субъекта Российской Федерации (муниципального образования), и используются бюджетными учреждениями в пределах остатка средств, отраженных на их лицевых счетах, без представления документов, подтверждающих возникновение денежных обязательств (</w:t>
      </w:r>
      <w:hyperlink r:id="rId18" w:history="1">
        <w:r>
          <w:rPr>
            <w:rFonts w:ascii="Calibri" w:hAnsi="Calibri" w:cs="Calibri"/>
            <w:color w:val="0000FF"/>
          </w:rPr>
          <w:t>части 9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15 статьи 30</w:t>
        </w:r>
      </w:hyperlink>
      <w:r>
        <w:rPr>
          <w:rFonts w:ascii="Calibri" w:hAnsi="Calibri" w:cs="Calibri"/>
        </w:rPr>
        <w:t xml:space="preserve"> Закона N 83-ФЗ).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Документом, определяющим направления использования бюджетными и автономными </w:t>
      </w:r>
      <w:r>
        <w:rPr>
          <w:rFonts w:ascii="Calibri" w:hAnsi="Calibri" w:cs="Calibri"/>
        </w:rPr>
        <w:lastRenderedPageBreak/>
        <w:t xml:space="preserve">учреждениями указанной субсидии, является план финансово-хозяйственной деятельности государственного (муниципального) учреждения (далее - План), составляемый и утверждаемый в порядке, установленном органом, осуществляющим функции и полномочия учредителя в отношении бюджетного и автономного учреждения, в соответствии с общими </w:t>
      </w:r>
      <w:hyperlink r:id="rId20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>, установленными Приказом Минфина России от 28 июля 2010 г. N 81н (далее - Порядок N 81н).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Плановые показатели по выплатам формируются учреждением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N 81н в разрезе выплат, которые в том числе включают оплату коммунальных услуг, рассчитанных с учетом соответствующих нормативных затрат.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достижения экономии средств, предусмотренных на оплату коммунальных услуг, за счет осуществления мероприятий по повышению энергоэффективности и энергосбережению указанные средства могут быть перераспределены в зависимости от потребности бюджетного и автономного учреждения на иные выплаты, в том числе на увеличение заработной платы.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таком перераспределении денежных средств бюджетному и автономному учреждению будет необходимо уточнить показатели Плана, связанные с выполнением государственного (муниципального) задания. При этом орган, осуществляющий функции и полномочия учредителя, вправе в установленном им порядке предоставить право утверждать План руководителю государственного (муниципального) бюджетного учреждения (</w:t>
      </w:r>
      <w:hyperlink r:id="rId22" w:history="1">
        <w:r>
          <w:rPr>
            <w:rFonts w:ascii="Calibri" w:hAnsi="Calibri" w:cs="Calibri"/>
            <w:color w:val="0000FF"/>
          </w:rPr>
          <w:t>пункт 22</w:t>
        </w:r>
      </w:hyperlink>
      <w:r>
        <w:rPr>
          <w:rFonts w:ascii="Calibri" w:hAnsi="Calibri" w:cs="Calibri"/>
        </w:rPr>
        <w:t xml:space="preserve"> Порядка N 81н).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Исходя из содержания </w:t>
      </w:r>
      <w:hyperlink r:id="rId23" w:history="1">
        <w:r>
          <w:rPr>
            <w:rFonts w:ascii="Calibri" w:hAnsi="Calibri" w:cs="Calibri"/>
            <w:color w:val="0000FF"/>
          </w:rPr>
          <w:t>части 17 статьи 30</w:t>
        </w:r>
      </w:hyperlink>
      <w:r>
        <w:rPr>
          <w:rFonts w:ascii="Calibri" w:hAnsi="Calibri" w:cs="Calibri"/>
        </w:rPr>
        <w:t xml:space="preserve"> Закона N 83-ФЗ не использованные в текущем финансовом году остатки субсидий, предоставленных бюджетному учреждению на выполнение государственного (муниципального) задания, остаются в распоряжении бюджетного учреждения и направляются в следующем году на те же цели.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с 1 января 2011 года для бюджетных и автономных учреждений обеспечена возможность как сохранения в их распоряжении средств, сэкономленных в результате осуществления ими мероприятий по повышению энергоэффективности и энергосбережению, так и направления указанной экономии, в том числе на увеличение расходов по оплате труда в соответствии с требованиями </w:t>
      </w:r>
      <w:hyperlink r:id="rId24" w:history="1">
        <w:r>
          <w:rPr>
            <w:rFonts w:ascii="Calibri" w:hAnsi="Calibri" w:cs="Calibri"/>
            <w:color w:val="0000FF"/>
          </w:rPr>
          <w:t>части 3 статьи 24</w:t>
        </w:r>
      </w:hyperlink>
      <w:r>
        <w:rPr>
          <w:rFonts w:ascii="Calibri" w:hAnsi="Calibri" w:cs="Calibri"/>
        </w:rPr>
        <w:t xml:space="preserve"> Закона N 261-ФЗ.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 условий использования государственными (муниципальными) учреждениями средств, сэкономленных в результате мероприятий по энергоэффективности и повышения энергетической эффективности, в соответствии с вышеуказанными нормативными правовыми актами Министерство финансов Российской Федерации рекомендует: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органам исполнительной власти - довести его до подведомственных федеральных государственных учреждений, а также учитывать вышеизложенные положения при планировании бюджетных ассигнований;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финансовым органам субъектов Российской Федерации - довести настоящее письмо до главных распорядителей бюджетных средств и финансовых органов муниципальных образований, а также обеспечить в случае необходимости принятие соответствующих нормативных правовых актов.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Т.Г.НЕСТЕРЕНКО</w:t>
      </w: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CD3" w:rsidRDefault="002E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CD3" w:rsidRDefault="002E4CD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049DA" w:rsidRDefault="004049DA">
      <w:bookmarkStart w:id="2" w:name="_GoBack"/>
      <w:bookmarkEnd w:id="2"/>
    </w:p>
    <w:sectPr w:rsidR="004049DA" w:rsidSect="006B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D3"/>
    <w:rsid w:val="002E4CD3"/>
    <w:rsid w:val="0040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CE0DB-7DBE-4991-8020-FAFB8D19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E5C579648D75359FB82D80C96320AE8E1E0F18F522058529287F62F12D1E15256DC21AD58C866V61FG" TargetMode="External"/><Relationship Id="rId13" Type="http://schemas.openxmlformats.org/officeDocument/2006/relationships/hyperlink" Target="consultantplus://offline/ref=291E5C579648D75359FB82D80C96320AE8E1E0F688542058529287F62F12D1E15256DC21AD5AC164V614G" TargetMode="External"/><Relationship Id="rId18" Type="http://schemas.openxmlformats.org/officeDocument/2006/relationships/hyperlink" Target="consultantplus://offline/ref=291E5C579648D75359FB82D80C96320AE8E1E0F384542058529287F62F12D1E15256DC21AD5BC067V615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1E5C579648D75359FB82D80C96320AE8E0E6F28A582058529287F62F12D1E15256DC21AD5AC161V617G" TargetMode="External"/><Relationship Id="rId7" Type="http://schemas.openxmlformats.org/officeDocument/2006/relationships/hyperlink" Target="consultantplus://offline/ref=291E5C579648D75359FB82D80C96320AE8E1E0F18F522058529287F62F12D1E15256DC22A85FVC15G" TargetMode="External"/><Relationship Id="rId12" Type="http://schemas.openxmlformats.org/officeDocument/2006/relationships/hyperlink" Target="consultantplus://offline/ref=291E5C579648D75359FB82D80C96320AE8E1E0F688542058529287F62FV112G" TargetMode="External"/><Relationship Id="rId17" Type="http://schemas.openxmlformats.org/officeDocument/2006/relationships/hyperlink" Target="consultantplus://offline/ref=291E5C579648D75359FB82D80C96320AE8E4E2F78E502058529287F62F12D1E15256DC21AD5AC161V615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1E5C579648D75359FB82D80C96320AE8E1E0F18F522058529287F62F12D1E15256DC23AC5EVC14G" TargetMode="External"/><Relationship Id="rId20" Type="http://schemas.openxmlformats.org/officeDocument/2006/relationships/hyperlink" Target="consultantplus://offline/ref=291E5C579648D75359FB82D80C96320AE8E0E6F28A582058529287F62F12D1E15256DC21AD5AC161V61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1E5C579648D75359FB82D80C96320AE8E1E0F18E522058529287F62F12D1E15256DCV213G" TargetMode="External"/><Relationship Id="rId11" Type="http://schemas.openxmlformats.org/officeDocument/2006/relationships/hyperlink" Target="consultantplus://offline/ref=291E5C579648D75359FB82D80C96320AE8E1E0F18E522058529287F62FV112G" TargetMode="External"/><Relationship Id="rId24" Type="http://schemas.openxmlformats.org/officeDocument/2006/relationships/hyperlink" Target="consultantplus://offline/ref=291E5C579648D75359FB82D80C96320AE8E1E0F18E522058529287F62F12D1E15256DCV216G" TargetMode="External"/><Relationship Id="rId5" Type="http://schemas.openxmlformats.org/officeDocument/2006/relationships/hyperlink" Target="consultantplus://offline/ref=291E5C579648D75359FB82D80C96320AE8E6E6F28D592058529287F62F12D1E15256DC21AD5AC169V615G" TargetMode="External"/><Relationship Id="rId15" Type="http://schemas.openxmlformats.org/officeDocument/2006/relationships/hyperlink" Target="consultantplus://offline/ref=291E5C579648D75359FB82D80C96320AE8E1E0F384542058529287F62F12D1E15256DC21AD5BC369V610G" TargetMode="External"/><Relationship Id="rId23" Type="http://schemas.openxmlformats.org/officeDocument/2006/relationships/hyperlink" Target="consultantplus://offline/ref=291E5C579648D75359FB82D80C96320AE8E1E0F384542058529287F62F12D1E15256DC21AD5BC068V617G" TargetMode="External"/><Relationship Id="rId10" Type="http://schemas.openxmlformats.org/officeDocument/2006/relationships/hyperlink" Target="consultantplus://offline/ref=291E5C579648D75359FB82D80C96320AE8E1E0F68D532058529287F62F12D1E15256DCV211G" TargetMode="External"/><Relationship Id="rId19" Type="http://schemas.openxmlformats.org/officeDocument/2006/relationships/hyperlink" Target="consultantplus://offline/ref=291E5C579648D75359FB82D80C96320AE8E1E0F384542058529287F62F12D1E15256DC21AD5BC067V61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1E5C579648D75359FB82D80C96320AE8E1E0F18F522058529287F62F12D1E15256DC22AB5AVC10G" TargetMode="External"/><Relationship Id="rId14" Type="http://schemas.openxmlformats.org/officeDocument/2006/relationships/hyperlink" Target="consultantplus://offline/ref=291E5C579648D75359FB82D80C96320AE8E1E0F384542058529287F62F12D1E15256DC21AD5BC262V614G" TargetMode="External"/><Relationship Id="rId22" Type="http://schemas.openxmlformats.org/officeDocument/2006/relationships/hyperlink" Target="consultantplus://offline/ref=291E5C579648D75359FB82D80C96320AE8E0E6F28A582058529287F62F12D1E15256DC21AD5AC063V61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Ольга Васильевна</dc:creator>
  <cp:keywords/>
  <dc:description/>
  <cp:lastModifiedBy>Медведева Ольга Васильевна</cp:lastModifiedBy>
  <cp:revision>1</cp:revision>
  <dcterms:created xsi:type="dcterms:W3CDTF">2015-07-01T06:53:00Z</dcterms:created>
  <dcterms:modified xsi:type="dcterms:W3CDTF">2015-07-01T06:53:00Z</dcterms:modified>
</cp:coreProperties>
</file>